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F3" w:rsidRPr="00AE2201" w:rsidRDefault="00AD0CC9" w:rsidP="006E0A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AD0CC9">
        <w:rPr>
          <w:lang w:val="ru-RU"/>
        </w:rPr>
        <w:br/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85FDA" w:rsidRPr="00AD0CC9" w:rsidRDefault="00AD0CC9" w:rsidP="006E0A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AE2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E2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85FDA" w:rsidRPr="00AD0CC9" w:rsidRDefault="00AD0CC9" w:rsidP="003044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планом-графиком внутришкольного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 этапа Всероссийской олимпиады школьников.</w:t>
      </w:r>
    </w:p>
    <w:p w:rsidR="00985FDA" w:rsidRDefault="00AD0CC9" w:rsidP="003044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проведения:</w:t>
      </w:r>
    </w:p>
    <w:p w:rsidR="00985FDA" w:rsidRPr="00AD0CC9" w:rsidRDefault="00AD0CC9" w:rsidP="003044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985FDA" w:rsidRPr="00AD0CC9" w:rsidRDefault="00AD0CC9" w:rsidP="003044F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985FDA" w:rsidRPr="00AD0CC9" w:rsidRDefault="00AD0CC9" w:rsidP="003044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985FDA" w:rsidRPr="008C7937" w:rsidRDefault="00AD0CC9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8C7937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Время проведения: ноябрь 202</w:t>
      </w:r>
      <w:r w:rsidR="00AE2201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4</w:t>
      </w:r>
      <w:r w:rsidRPr="008C7937">
        <w:rPr>
          <w:rFonts w:hAnsi="Times New Roman" w:cs="Times New Roman"/>
          <w:b/>
          <w:color w:val="000000"/>
          <w:sz w:val="24"/>
          <w:szCs w:val="24"/>
          <w:u w:val="single"/>
        </w:rPr>
        <w:t> </w:t>
      </w:r>
      <w:r w:rsidRPr="008C7937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года.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</w:t>
      </w:r>
      <w:r w:rsidR="008C793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по 2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.10.202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. В школьном этапе предметных олимпиад принимали участие учащиеся 4–11-х классов.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985FDA" w:rsidRPr="00AD0CC9" w:rsidRDefault="00AD0CC9" w:rsidP="003044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985FDA" w:rsidRPr="00AD0CC9" w:rsidRDefault="00AD0CC9" w:rsidP="003044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985FDA" w:rsidRPr="00AD0CC9" w:rsidRDefault="00AD0CC9" w:rsidP="003044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приказами МБОУ «</w:t>
      </w:r>
      <w:r w:rsidR="00860C8B">
        <w:rPr>
          <w:rFonts w:hAnsi="Times New Roman" w:cs="Times New Roman"/>
          <w:color w:val="000000"/>
          <w:sz w:val="24"/>
          <w:szCs w:val="24"/>
          <w:lang w:val="ru-RU"/>
        </w:rPr>
        <w:t>СОШ №41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60C8B">
        <w:rPr>
          <w:rFonts w:hAnsi="Times New Roman" w:cs="Times New Roman"/>
          <w:color w:val="000000"/>
          <w:sz w:val="24"/>
          <w:szCs w:val="24"/>
          <w:lang w:val="ru-RU"/>
        </w:rPr>
        <w:t xml:space="preserve"> г.Чебоксары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985FDA" w:rsidRPr="00AD0CC9" w:rsidRDefault="00AD0CC9" w:rsidP="003044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985FDA" w:rsidRPr="00AD0CC9" w:rsidRDefault="00AD0CC9" w:rsidP="003044F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985FDA" w:rsidRPr="00AD0CC9" w:rsidRDefault="00AD0CC9" w:rsidP="003044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приказу от 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>113-о.</w:t>
      </w:r>
    </w:p>
    <w:p w:rsidR="00985FDA" w:rsidRPr="00AE2201" w:rsidRDefault="00AD0CC9" w:rsidP="00A034A6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приняли </w:t>
      </w:r>
      <w:proofErr w:type="gramStart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AE22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4B27">
        <w:rPr>
          <w:rFonts w:hAnsi="Times New Roman" w:cs="Times New Roman"/>
          <w:color w:val="000000"/>
          <w:sz w:val="24"/>
          <w:szCs w:val="24"/>
          <w:lang w:val="ru-RU"/>
        </w:rPr>
        <w:t>1416</w:t>
      </w:r>
      <w:proofErr w:type="gramEnd"/>
      <w:r w:rsidR="00E34B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4B27">
        <w:rPr>
          <w:rFonts w:hAnsi="Times New Roman" w:cs="Times New Roman"/>
          <w:sz w:val="24"/>
          <w:szCs w:val="24"/>
          <w:lang w:val="ru-RU"/>
        </w:rPr>
        <w:t xml:space="preserve">учащихся 4–11-х классов 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– 51 процент от общего количества учащихся 4–11-х классов в 16 предметных олимпиадах, а именно</w:t>
      </w:r>
      <w:r w:rsidRPr="00AE2201">
        <w:rPr>
          <w:rFonts w:hAnsi="Times New Roman" w:cs="Times New Roman"/>
          <w:color w:val="FF0000"/>
          <w:sz w:val="24"/>
          <w:szCs w:val="24"/>
        </w:rPr>
        <w:t> 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по английскому языку, биологии, географии, истории, литературе, математике, немецкому языку, обществознанию, ОБЖ, праву, русскому языку, физике, физической культуре, химии, информатике</w:t>
      </w:r>
      <w:r w:rsidR="00DB2A94">
        <w:rPr>
          <w:rFonts w:hAnsi="Times New Roman" w:cs="Times New Roman"/>
          <w:color w:val="FF0000"/>
          <w:sz w:val="24"/>
          <w:szCs w:val="24"/>
          <w:lang w:val="ru-RU"/>
        </w:rPr>
        <w:t xml:space="preserve"> и т.д.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="00002538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В текущем учебном году в школьном этапе Всероссийской предметной олимпиады приняли участие</w:t>
      </w:r>
      <w:r w:rsidR="00A034A6"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 41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 учащихся 4-го класса в олимпиаде по математике и русскому языку.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№ 1. Сравнительный анализ количества участников школьного этапа Всероссийской олимпиады школьников за три года</w:t>
      </w:r>
    </w:p>
    <w:tbl>
      <w:tblPr>
        <w:tblW w:w="94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6"/>
        <w:gridCol w:w="1136"/>
        <w:gridCol w:w="992"/>
        <w:gridCol w:w="992"/>
      </w:tblGrid>
      <w:tr w:rsidR="00AE2201" w:rsidTr="00AE22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01" w:rsidRDefault="00AE22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201" w:rsidRPr="00A034A6" w:rsidRDefault="00AE2201" w:rsidP="00A034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201" w:rsidRPr="00A034A6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2023/24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201" w:rsidRDefault="00AE22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2024/25</w:t>
            </w:r>
          </w:p>
        </w:tc>
      </w:tr>
      <w:tr w:rsidR="00AE2201" w:rsidRPr="00E34B27" w:rsidTr="00AE22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01" w:rsidRPr="00AD0CC9" w:rsidRDefault="00AE22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11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201" w:rsidRPr="00A034A6" w:rsidRDefault="00DB2A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1385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201" w:rsidRPr="00A034A6" w:rsidRDefault="00DD4A20" w:rsidP="00DD4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1410</w:t>
            </w:r>
          </w:p>
        </w:tc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A20" w:rsidRDefault="00DD4A20" w:rsidP="00DD4A2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AE2201" w:rsidRPr="00A034A6" w:rsidRDefault="00DD4A20" w:rsidP="00DD4A2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1416</w:t>
            </w:r>
          </w:p>
        </w:tc>
      </w:tr>
    </w:tbl>
    <w:p w:rsidR="00DB2A94" w:rsidRDefault="00AD0CC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E2201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Вывод:</w:t>
      </w:r>
      <w:r w:rsidRPr="00AE2201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в 202</w:t>
      </w:r>
      <w:r w:rsidR="00AE2201" w:rsidRPr="00AE2201">
        <w:rPr>
          <w:rFonts w:hAnsi="Times New Roman" w:cs="Times New Roman"/>
          <w:color w:val="FF0000"/>
          <w:sz w:val="24"/>
          <w:szCs w:val="24"/>
          <w:lang w:val="ru-RU"/>
        </w:rPr>
        <w:t>4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>/2</w:t>
      </w:r>
      <w:r w:rsidR="00AE2201" w:rsidRPr="00AE2201">
        <w:rPr>
          <w:rFonts w:hAnsi="Times New Roman" w:cs="Times New Roman"/>
          <w:color w:val="FF0000"/>
          <w:sz w:val="24"/>
          <w:szCs w:val="24"/>
          <w:lang w:val="ru-RU"/>
        </w:rPr>
        <w:t>5</w:t>
      </w:r>
      <w:r w:rsidRPr="00AE2201">
        <w:rPr>
          <w:rFonts w:hAnsi="Times New Roman" w:cs="Times New Roman"/>
          <w:color w:val="FF0000"/>
          <w:sz w:val="24"/>
          <w:szCs w:val="24"/>
        </w:rPr>
        <w:t> 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учебном </w:t>
      </w:r>
      <w:proofErr w:type="gramStart"/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году </w:t>
      </w:r>
      <w:r w:rsidR="00DB2A94">
        <w:rPr>
          <w:rFonts w:hAnsi="Times New Roman" w:cs="Times New Roman"/>
          <w:color w:val="FF0000"/>
          <w:sz w:val="24"/>
          <w:szCs w:val="24"/>
          <w:lang w:val="ru-RU"/>
        </w:rPr>
        <w:t xml:space="preserve"> не</w:t>
      </w:r>
      <w:proofErr w:type="gramEnd"/>
      <w:r w:rsidR="00DB2A9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наблюдается </w:t>
      </w:r>
      <w:r w:rsidR="00DB2A94">
        <w:rPr>
          <w:rFonts w:hAnsi="Times New Roman" w:cs="Times New Roman"/>
          <w:color w:val="FF0000"/>
          <w:sz w:val="24"/>
          <w:szCs w:val="24"/>
          <w:lang w:val="ru-RU"/>
        </w:rPr>
        <w:t xml:space="preserve">роста </w:t>
      </w:r>
      <w:r w:rsidRPr="00AE2201">
        <w:rPr>
          <w:rFonts w:hAnsi="Times New Roman" w:cs="Times New Roman"/>
          <w:color w:val="FF0000"/>
          <w:sz w:val="24"/>
          <w:szCs w:val="24"/>
          <w:lang w:val="ru-RU"/>
        </w:rPr>
        <w:t xml:space="preserve"> количества участников на</w:t>
      </w:r>
      <w:r w:rsidR="00DB2A94">
        <w:rPr>
          <w:rFonts w:hAnsi="Times New Roman" w:cs="Times New Roman"/>
          <w:color w:val="FF0000"/>
          <w:sz w:val="24"/>
          <w:szCs w:val="24"/>
          <w:lang w:val="ru-RU"/>
        </w:rPr>
        <w:t xml:space="preserve">. По сравнению с прошлым учебным годом мы на том же </w:t>
      </w:r>
      <w:proofErr w:type="spellStart"/>
      <w:r w:rsidR="00DB2A94">
        <w:rPr>
          <w:rFonts w:hAnsi="Times New Roman" w:cs="Times New Roman"/>
          <w:color w:val="FF0000"/>
          <w:sz w:val="24"/>
          <w:szCs w:val="24"/>
          <w:lang w:val="ru-RU"/>
        </w:rPr>
        <w:t>уровнею</w:t>
      </w:r>
      <w:bookmarkStart w:id="0" w:name="_GoBack"/>
      <w:bookmarkEnd w:id="0"/>
      <w:proofErr w:type="spellEnd"/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2. Количество участников школьного этапа Всероссийской олимпиады школьников в 202</w:t>
      </w:r>
      <w:r w:rsidR="00A03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03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5221"/>
        <w:gridCol w:w="1415"/>
        <w:gridCol w:w="2310"/>
      </w:tblGrid>
      <w:tr w:rsidR="00985FDA" w:rsidRPr="00DD4A20" w:rsidTr="0000036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="00000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D0CC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 w:rsidR="00AD0CC9"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 общего количества учащихся в классах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AD0CC9" w:rsidP="00A034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(5–11-е классы (</w:t>
            </w:r>
            <w:r w:rsidR="00A03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034A6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034A6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A034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</w:t>
            </w:r>
            <w:proofErr w:type="spellEnd"/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034A6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034A6" w:rsidRDefault="00A034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</w:t>
            </w:r>
            <w:proofErr w:type="spellEnd"/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</w:t>
            </w:r>
            <w:proofErr w:type="spellEnd"/>
            <w:r w:rsidR="00AE22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761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AE22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C0D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AD0C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 классы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451 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EC0D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EC0D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21%</w:t>
            </w:r>
          </w:p>
        </w:tc>
      </w:tr>
      <w:tr w:rsidR="00985FDA" w:rsidTr="00000365">
        <w:trPr>
          <w:trHeight w:val="29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EC0D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17%</w:t>
            </w:r>
          </w:p>
        </w:tc>
      </w:tr>
      <w:tr w:rsidR="00985FDA" w:rsidTr="0000036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="00EC0D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85FDA" w:rsidRPr="00EC0DA1" w:rsidTr="00000365">
        <w:tc>
          <w:tcPr>
            <w:tcW w:w="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 классы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761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EC0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 w:rsidR="00EC0D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EC0DA1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B235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85FDA" w:rsidRPr="00B23539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AD0CC9" w:rsidP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(5–11-е классы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 w:rsidP="00B23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985FDA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(5–11-е 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учащийся))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E054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85FDA" w:rsidRPr="00B23539" w:rsidTr="00000365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B23539" w:rsidRDefault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00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(технический и обслуживающий труд) (</w:t>
            </w:r>
            <w:r w:rsidR="00E054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</w:t>
            </w:r>
          </w:p>
        </w:tc>
        <w:tc>
          <w:tcPr>
            <w:tcW w:w="93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</w:tr>
      <w:tr w:rsidR="00B23539" w:rsidRPr="00B23539" w:rsidTr="0000036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Pr="00B23539" w:rsidRDefault="00B235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539" w:rsidRPr="00B23539" w:rsidRDefault="00B23539" w:rsidP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родного края 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 классы (</w:t>
            </w:r>
            <w:r w:rsidR="00000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23539" w:rsidRPr="00B23539" w:rsidTr="0000036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Default="00B235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539" w:rsidRDefault="00B23539" w:rsidP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Чувашский язык (5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–11-е 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="00000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61 </w:t>
            </w:r>
            <w:r w:rsidRP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учащихся))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539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3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00365" w:rsidRPr="00B23539" w:rsidTr="0000036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Default="00000365" w:rsidP="00B2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 (5-11 классы (761 учащихся)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2,3%</w:t>
            </w:r>
          </w:p>
        </w:tc>
      </w:tr>
    </w:tbl>
    <w:p w:rsidR="00000365" w:rsidRPr="00AD0CC9" w:rsidRDefault="00AD0CC9" w:rsidP="004B1A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участников олимпиады наблюдается по </w:t>
      </w:r>
      <w:proofErr w:type="gramStart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предметам  русский</w:t>
      </w:r>
      <w:proofErr w:type="gramEnd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язык,</w:t>
      </w:r>
      <w:r w:rsidR="00B23539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литература, </w:t>
      </w:r>
      <w:r w:rsidR="00000365">
        <w:rPr>
          <w:rFonts w:hAnsi="Times New Roman" w:cs="Times New Roman"/>
          <w:color w:val="000000"/>
          <w:sz w:val="24"/>
          <w:szCs w:val="24"/>
          <w:lang w:val="ru-RU"/>
        </w:rPr>
        <w:t>математика, биология.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Очень низкий показатель по таким предметам, как </w:t>
      </w:r>
      <w:r w:rsidR="004B1A03">
        <w:rPr>
          <w:rFonts w:hAnsi="Times New Roman" w:cs="Times New Roman"/>
          <w:color w:val="000000"/>
          <w:sz w:val="24"/>
          <w:szCs w:val="24"/>
          <w:lang w:val="ru-RU"/>
        </w:rPr>
        <w:t>право, технология, ОБ</w:t>
      </w:r>
      <w:r w:rsidR="00000365">
        <w:rPr>
          <w:rFonts w:hAnsi="Times New Roman" w:cs="Times New Roman"/>
          <w:color w:val="000000"/>
          <w:sz w:val="24"/>
          <w:szCs w:val="24"/>
          <w:lang w:val="ru-RU"/>
        </w:rPr>
        <w:t>ЗР</w:t>
      </w:r>
      <w:r w:rsidR="004B1A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информатика</w:t>
      </w:r>
      <w:r w:rsidR="00000365">
        <w:rPr>
          <w:rFonts w:hAnsi="Times New Roman" w:cs="Times New Roman"/>
          <w:color w:val="000000"/>
          <w:sz w:val="24"/>
          <w:szCs w:val="24"/>
          <w:lang w:val="ru-RU"/>
        </w:rPr>
        <w:t>, немецкий язык, физическая культура.  Не участвовали   по предметам искусство, французский язык.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3.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633"/>
        <w:gridCol w:w="2088"/>
        <w:gridCol w:w="1990"/>
        <w:gridCol w:w="2127"/>
      </w:tblGrid>
      <w:tr w:rsidR="004B1A03" w:rsidTr="004B1A03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A03" w:rsidRDefault="004B1A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A03" w:rsidRDefault="004B1A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6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A03" w:rsidRDefault="004B1A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00365" w:rsidTr="00E34B27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 xml:space="preserve">2022/23 </w:t>
            </w:r>
            <w:proofErr w:type="spellStart"/>
            <w:r w:rsidRPr="00000365">
              <w:rPr>
                <w:b/>
                <w:bCs/>
              </w:rPr>
              <w:t>учебный</w:t>
            </w:r>
            <w:proofErr w:type="spellEnd"/>
            <w:r w:rsidRPr="00000365">
              <w:rPr>
                <w:b/>
                <w:bCs/>
              </w:rPr>
              <w:t xml:space="preserve"> </w:t>
            </w:r>
            <w:proofErr w:type="spellStart"/>
            <w:r w:rsidRPr="0000036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 xml:space="preserve">2023/24 </w:t>
            </w:r>
            <w:proofErr w:type="spellStart"/>
            <w:r w:rsidRPr="00000365">
              <w:rPr>
                <w:b/>
                <w:bCs/>
              </w:rPr>
              <w:t>учебный</w:t>
            </w:r>
            <w:proofErr w:type="spellEnd"/>
            <w:r w:rsidRPr="00000365">
              <w:rPr>
                <w:b/>
                <w:bCs/>
              </w:rPr>
              <w:t xml:space="preserve"> </w:t>
            </w:r>
            <w:proofErr w:type="spellStart"/>
            <w:r w:rsidRPr="00000365">
              <w:rPr>
                <w:b/>
                <w:bCs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4B1A03" w:rsidRDefault="00000365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160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237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252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121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137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171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58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233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260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236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60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98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115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45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84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Pr="00002538" w:rsidRDefault="003A198C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ОБЖ/</w:t>
            </w:r>
            <w:r w:rsidR="00000365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002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198C"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44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00365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365" w:rsidRDefault="00000365" w:rsidP="00000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21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65" w:rsidRPr="00000365" w:rsidRDefault="00000365" w:rsidP="00000365">
            <w:pPr>
              <w:jc w:val="center"/>
              <w:rPr>
                <w:b/>
                <w:bCs/>
              </w:rPr>
            </w:pPr>
            <w:r w:rsidRPr="00000365">
              <w:rPr>
                <w:b/>
                <w:bCs/>
              </w:rPr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365" w:rsidRPr="00DB02EF" w:rsidRDefault="003A198C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02538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Pr="00002538" w:rsidRDefault="00002538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Pr="00002538" w:rsidRDefault="00002538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Чувашский язык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0365" w:rsidRDefault="00002538" w:rsidP="00000365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0365" w:rsidRDefault="00002538" w:rsidP="0000036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538" w:rsidRPr="00DB02EF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02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002538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Default="00002538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Default="00002538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КРК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0365" w:rsidRDefault="00002538" w:rsidP="00000365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0365" w:rsidRDefault="00002538" w:rsidP="0000036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538" w:rsidRPr="00002538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25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002538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Default="00002538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538" w:rsidRDefault="00002538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2538" w:rsidRDefault="00002538" w:rsidP="0000036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538" w:rsidRPr="00002538" w:rsidRDefault="00002538" w:rsidP="0000036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538" w:rsidRPr="00002538" w:rsidRDefault="00002538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A198C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98C" w:rsidRDefault="003A198C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98C" w:rsidRDefault="003A198C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Технология\Труд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8C" w:rsidRDefault="003A198C" w:rsidP="0000036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8C" w:rsidRDefault="003A198C" w:rsidP="0000036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C" w:rsidRDefault="003A198C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A198C" w:rsidTr="00E34B2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98C" w:rsidRDefault="003A198C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98C" w:rsidRDefault="003A198C" w:rsidP="00000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8C" w:rsidRDefault="003A198C" w:rsidP="0000036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98C" w:rsidRDefault="003A198C" w:rsidP="0000036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98C" w:rsidRDefault="003A198C" w:rsidP="000003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669E6" w:rsidTr="006E0AF3"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9E6" w:rsidRDefault="00B669E6" w:rsidP="00B669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9E6" w:rsidRDefault="00B669E6" w:rsidP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9E6" w:rsidRPr="00000365" w:rsidRDefault="00000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9E6" w:rsidRPr="00B669E6" w:rsidRDefault="00B669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5FDA" w:rsidRDefault="00AD0CC9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B02EF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Вывод: 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количество участников школьного этапа 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заметно увеличилось. 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 Наблюдается снижение количества участников школьного этапа Всероссийской олимпиады школьников по следующим предметам: 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>МХК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>Экология</w:t>
      </w:r>
      <w:proofErr w:type="gramStart"/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proofErr w:type="gramEnd"/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 В 202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>3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>/2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>4</w:t>
      </w:r>
      <w:r w:rsidRPr="00DB02EF">
        <w:rPr>
          <w:rFonts w:hAnsi="Times New Roman" w:cs="Times New Roman"/>
          <w:color w:val="FF0000"/>
          <w:sz w:val="24"/>
          <w:szCs w:val="24"/>
        </w:rPr>
        <w:t> 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>году увеличилось количество участников</w:t>
      </w:r>
      <w:r w:rsidR="00B669E6"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 в целом по</w:t>
      </w:r>
      <w:r w:rsidR="00BF1AFA" w:rsidRPr="00DB02EF">
        <w:rPr>
          <w:rFonts w:hAnsi="Times New Roman" w:cs="Times New Roman"/>
          <w:color w:val="FF0000"/>
          <w:sz w:val="24"/>
          <w:szCs w:val="24"/>
          <w:lang w:val="ru-RU"/>
        </w:rPr>
        <w:t xml:space="preserve"> математике, русскому языку, информатике, физике, биологии</w:t>
      </w:r>
      <w:r w:rsidRPr="00DB02EF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DB02EF" w:rsidRDefault="00DB02EF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B02EF" w:rsidRPr="00DB02EF" w:rsidRDefault="00DB02EF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4. Количество победителей и призеров школьного этапа Всероссийской олимпиады школьников в 202</w:t>
      </w:r>
      <w:r w:rsidR="00DB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B669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DB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025"/>
        <w:gridCol w:w="1842"/>
        <w:gridCol w:w="1617"/>
        <w:gridCol w:w="2322"/>
      </w:tblGrid>
      <w:tr w:rsidR="00985FDA" w:rsidTr="006C18AE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985FDA" w:rsidTr="006C1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8AE" w:rsidRDefault="00AD0CC9" w:rsidP="006C1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6C1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85FDA" w:rsidRPr="006C18AE" w:rsidRDefault="006C18AE" w:rsidP="006C18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(4-1 классы)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B669E6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597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034899" w:rsidRDefault="00AD0C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3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БЗР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500E6F" w:rsidRDefault="000348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9B6002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9B6002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9B6002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02EF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6C18AE" w:rsidRDefault="006C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DB02EF" w:rsidRDefault="00DB0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02EF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6C18AE" w:rsidRDefault="006C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DB02EF" w:rsidRDefault="00DB0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Чувашский язык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DB02EF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6C18AE" w:rsidRDefault="006C1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DB02EF" w:rsidRDefault="00DB0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КРК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2EF" w:rsidRPr="009B6002" w:rsidRDefault="00DB02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5FDA" w:rsidTr="006C18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985FDA"/>
        </w:tc>
        <w:tc>
          <w:tcPr>
            <w:tcW w:w="30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D758A8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D758A8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D758A8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5FDA" w:rsidRPr="006C18AE" w:rsidRDefault="00AD0CC9" w:rsidP="00D758A8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6C18AE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Вывод: </w:t>
      </w:r>
      <w:r w:rsidRPr="006C18AE">
        <w:rPr>
          <w:rFonts w:hAnsi="Times New Roman" w:cs="Times New Roman"/>
          <w:color w:val="FF0000"/>
          <w:sz w:val="24"/>
          <w:szCs w:val="24"/>
          <w:lang w:val="ru-RU"/>
        </w:rPr>
        <w:t xml:space="preserve">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</w:t>
      </w:r>
      <w:r w:rsidR="00D758A8" w:rsidRPr="006C18AE">
        <w:rPr>
          <w:rFonts w:hAnsi="Times New Roman" w:cs="Times New Roman"/>
          <w:color w:val="FF0000"/>
          <w:sz w:val="24"/>
          <w:szCs w:val="24"/>
          <w:lang w:val="ru-RU"/>
        </w:rPr>
        <w:t>история</w:t>
      </w:r>
      <w:r w:rsidRPr="006C18AE">
        <w:rPr>
          <w:rFonts w:hAnsi="Times New Roman" w:cs="Times New Roman"/>
          <w:color w:val="FF0000"/>
          <w:sz w:val="24"/>
          <w:szCs w:val="24"/>
          <w:lang w:val="ru-RU"/>
        </w:rPr>
        <w:t>, обществознани</w:t>
      </w:r>
      <w:r w:rsidR="00D758A8" w:rsidRPr="006C18AE">
        <w:rPr>
          <w:rFonts w:hAnsi="Times New Roman" w:cs="Times New Roman"/>
          <w:color w:val="FF0000"/>
          <w:sz w:val="24"/>
          <w:szCs w:val="24"/>
          <w:lang w:val="ru-RU"/>
        </w:rPr>
        <w:t>е</w:t>
      </w:r>
      <w:r w:rsidRPr="006C18AE">
        <w:rPr>
          <w:rFonts w:hAnsi="Times New Roman" w:cs="Times New Roman"/>
          <w:color w:val="FF0000"/>
          <w:sz w:val="24"/>
          <w:szCs w:val="24"/>
          <w:lang w:val="ru-RU"/>
        </w:rPr>
        <w:t>, физической культуре, ОБЖ, биологии, что свидетельствует о качественной подготовке участников олимпиады по данным предметам.</w:t>
      </w:r>
    </w:p>
    <w:p w:rsidR="006C18AE" w:rsidRDefault="006C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8AE" w:rsidRDefault="006C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8AE" w:rsidRDefault="006C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8AE" w:rsidRDefault="006C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8AE" w:rsidRDefault="006C18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5. Сравнительный анализ количества победителей школьного этапа Всероссийской предметной олимпиады школьников за три года по предметам.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1727"/>
        <w:gridCol w:w="1788"/>
        <w:gridCol w:w="1227"/>
        <w:gridCol w:w="28"/>
        <w:gridCol w:w="1106"/>
        <w:gridCol w:w="28"/>
        <w:gridCol w:w="1264"/>
        <w:gridCol w:w="12"/>
        <w:gridCol w:w="1803"/>
        <w:gridCol w:w="40"/>
      </w:tblGrid>
      <w:tr w:rsidR="006C18AE" w:rsidRPr="00DD4A20" w:rsidTr="00C70604">
        <w:trPr>
          <w:trHeight w:val="2478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8AE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8AE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8AE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AE" w:rsidRPr="00AD0CC9" w:rsidRDefault="006C1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8AE" w:rsidRPr="00AD0CC9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8AE" w:rsidRPr="00AD0CC9" w:rsidRDefault="006C1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</w:t>
            </w: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», «=»)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</w:tr>
      <w:tr w:rsidR="00C70604" w:rsidRPr="00DD4A20" w:rsidTr="00C70604">
        <w:trPr>
          <w:gridAfter w:val="1"/>
          <w:wAfter w:w="40" w:type="dxa"/>
        </w:trPr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AD0CC9" w:rsidRDefault="00C70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AD0CC9" w:rsidRDefault="00C70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3A198C" w:rsidRDefault="00C70604" w:rsidP="002E6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3A198C" w:rsidRDefault="00C70604" w:rsidP="002E6F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Pr="003A198C" w:rsidRDefault="00C70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3A198C" w:rsidRDefault="00C70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3A198C" w:rsidRDefault="00C70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+9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+9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-6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+39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+36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+6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</w:p>
        </w:tc>
      </w:tr>
      <w:tr w:rsidR="00C70604" w:rsidTr="00C70604">
        <w:trPr>
          <w:gridAfter w:val="1"/>
          <w:wAfter w:w="40" w:type="dxa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EB407B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</w:t>
            </w:r>
          </w:p>
        </w:tc>
      </w:tr>
      <w:tr w:rsidR="00C70604" w:rsidTr="00C70604"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Pr="002E6F8C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604" w:rsidRDefault="00C706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последних трех лет наблюдается стабильное количество победителей школьного этапа Всероссийской олимпиады школьников по следующим предметам: </w:t>
      </w:r>
      <w:r w:rsidR="0060722B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литература, </w:t>
      </w:r>
      <w:proofErr w:type="gramStart"/>
      <w:r w:rsidR="0060722B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история,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</w:t>
      </w:r>
      <w:proofErr w:type="gramEnd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культуре, английскому языку, химии.</w:t>
      </w:r>
    </w:p>
    <w:p w:rsidR="0060722B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сравнении с прошлым, 202</w:t>
      </w:r>
      <w:r w:rsidR="0060722B">
        <w:rPr>
          <w:rFonts w:hAnsi="Times New Roman" w:cs="Times New Roman"/>
          <w:color w:val="000000"/>
          <w:sz w:val="24"/>
          <w:szCs w:val="24"/>
          <w:lang w:val="ru-RU"/>
        </w:rPr>
        <w:t>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</w:t>
      </w:r>
      <w:proofErr w:type="gramStart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</w:t>
      </w:r>
      <w:r w:rsidR="0060722B">
        <w:rPr>
          <w:rFonts w:hAnsi="Times New Roman" w:cs="Times New Roman"/>
          <w:color w:val="000000"/>
          <w:sz w:val="24"/>
          <w:szCs w:val="24"/>
          <w:lang w:val="ru-RU"/>
        </w:rPr>
        <w:t xml:space="preserve"> незначительное</w:t>
      </w:r>
      <w:proofErr w:type="gramEnd"/>
      <w:r w:rsidR="006072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уменьшение количества победителей школьного этапа Всероссийской олимпиады по следующим предметам</w:t>
      </w:r>
      <w:r w:rsidR="006072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0722B" w:rsidRPr="0060722B">
        <w:rPr>
          <w:lang w:val="ru-RU"/>
        </w:rPr>
        <w:t xml:space="preserve"> </w:t>
      </w:r>
      <w:r w:rsidR="0060722B" w:rsidRPr="0060722B">
        <w:rPr>
          <w:rFonts w:hAnsi="Times New Roman" w:cs="Times New Roman"/>
          <w:color w:val="000000"/>
          <w:sz w:val="24"/>
          <w:szCs w:val="24"/>
          <w:lang w:val="ru-RU"/>
        </w:rPr>
        <w:t>литература, история, физика, география.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В 2</w:t>
      </w:r>
      <w:r w:rsidR="00F13514">
        <w:rPr>
          <w:rFonts w:hAnsi="Times New Roman" w:cs="Times New Roman"/>
          <w:color w:val="000000"/>
          <w:sz w:val="24"/>
          <w:szCs w:val="24"/>
          <w:lang w:val="ru-RU"/>
        </w:rPr>
        <w:t>023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135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отсутствуют </w:t>
      </w:r>
      <w:r w:rsidR="00F1351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участники и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победители школьного этапа олимпиады по </w:t>
      </w:r>
      <w:r w:rsidR="00F13514">
        <w:rPr>
          <w:rFonts w:hAnsi="Times New Roman" w:cs="Times New Roman"/>
          <w:color w:val="000000"/>
          <w:sz w:val="24"/>
          <w:szCs w:val="24"/>
          <w:lang w:val="ru-RU"/>
        </w:rPr>
        <w:t xml:space="preserve">экологии, астрономии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и МХК.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6. Сравнительный анализ количества призеров школьного этапа Всероссийской предметной олимпиады школьников за три года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"/>
        <w:gridCol w:w="1481"/>
        <w:gridCol w:w="1533"/>
        <w:gridCol w:w="1533"/>
        <w:gridCol w:w="1533"/>
        <w:gridCol w:w="1553"/>
        <w:gridCol w:w="1553"/>
      </w:tblGrid>
      <w:tr w:rsidR="00985FDA" w:rsidRPr="00DD4A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D0CC9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«–», «=»)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D0CC9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(«+», «–», «=»)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сравнении с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C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годом)</w:t>
            </w:r>
          </w:p>
        </w:tc>
      </w:tr>
      <w:tr w:rsidR="00985F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D0CC9" w:rsidRDefault="00985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AD0CC9" w:rsidRDefault="00985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A56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1A56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A56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A003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00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00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985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985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+18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+17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-17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+22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+5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-30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+4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</w:t>
            </w:r>
          </w:p>
        </w:tc>
      </w:tr>
      <w:tr w:rsidR="00985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F629C2" w:rsidRDefault="00F629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F629C2" w:rsidRDefault="006072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</w:p>
        </w:tc>
      </w:tr>
      <w:tr w:rsidR="00985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1A56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1A567A" w:rsidRDefault="00792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F629C2" w:rsidRDefault="00F629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98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5FDA" w:rsidRPr="00AD0CC9" w:rsidRDefault="00AD0CC9" w:rsidP="00F629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: в сравнении с прошлым, 202</w:t>
      </w:r>
      <w:r w:rsidR="00F629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F629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</w:t>
      </w:r>
      <w:r w:rsidR="00694487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уменьшение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количества призеров школьного этапа Всероссийской олимпиады </w:t>
      </w:r>
      <w:proofErr w:type="gramStart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F62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29C2" w:rsidRPr="00AD0CC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69448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629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487">
        <w:rPr>
          <w:rFonts w:hAnsi="Times New Roman" w:cs="Times New Roman"/>
          <w:color w:val="000000"/>
          <w:sz w:val="24"/>
          <w:szCs w:val="24"/>
          <w:lang w:val="ru-RU"/>
        </w:rPr>
        <w:t>право, география, математика, английский язык.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0310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говорит </w:t>
      </w:r>
      <w:r w:rsidR="00A00310" w:rsidRPr="00A0031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качественной подготовке </w:t>
      </w:r>
      <w:r w:rsidR="00A00310" w:rsidRPr="00A003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участников олимпиады по </w:t>
      </w:r>
      <w:r w:rsidR="00A00310">
        <w:rPr>
          <w:rFonts w:hAnsi="Times New Roman" w:cs="Times New Roman"/>
          <w:color w:val="000000"/>
          <w:sz w:val="24"/>
          <w:szCs w:val="24"/>
          <w:lang w:val="ru-RU"/>
        </w:rPr>
        <w:t>данно</w:t>
      </w:r>
      <w:r w:rsidR="00A00310" w:rsidRPr="00A003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0031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00310" w:rsidRPr="00A0031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A0031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00310" w:rsidRPr="00A003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92D5C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Увеличилось количество призеров по биологии, информатике, литературе, русскому языку. 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7. Сравнительный анализ количества победителей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418"/>
        <w:gridCol w:w="1417"/>
        <w:gridCol w:w="2127"/>
      </w:tblGrid>
      <w:tr w:rsidR="00985FDA" w:rsidTr="0073271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/24</w:t>
            </w:r>
          </w:p>
        </w:tc>
      </w:tr>
      <w:tr w:rsidR="00985FDA" w:rsidTr="00732714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92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</w:tr>
    </w:tbl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победителей по школе </w:t>
      </w:r>
      <w:proofErr w:type="gramStart"/>
      <w:r w:rsidR="00732714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сравнению с прошлым годом на 8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8. Сравнительный анализ количества призеров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276"/>
        <w:gridCol w:w="1559"/>
        <w:gridCol w:w="2127"/>
      </w:tblGrid>
      <w:tr w:rsidR="00985FDA" w:rsidTr="0073271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5FDA" w:rsidTr="00732714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92D5C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387</w:t>
            </w:r>
          </w:p>
        </w:tc>
      </w:tr>
    </w:tbl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общее количество призеров по школе </w:t>
      </w:r>
      <w:proofErr w:type="gramStart"/>
      <w:r w:rsidR="00732714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>279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9. Сравнительный анализ количества победителей и призеров школьного этапа Всероссийской олимпиады школьников за три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1276"/>
        <w:gridCol w:w="1276"/>
        <w:gridCol w:w="2268"/>
      </w:tblGrid>
      <w:tr w:rsidR="00985FDA" w:rsidTr="0073271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 w:rsidP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7327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/24</w:t>
            </w:r>
          </w:p>
        </w:tc>
      </w:tr>
      <w:tr w:rsidR="00985FDA" w:rsidTr="00732714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Default="00AD0C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32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92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FDA" w:rsidRPr="00732714" w:rsidRDefault="00792D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525</w:t>
            </w:r>
          </w:p>
        </w:tc>
      </w:tr>
    </w:tbl>
    <w:p w:rsidR="00985FDA" w:rsidRPr="00AD0CC9" w:rsidRDefault="00AD0C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количество победителей и призеров школьного этапа Всероссийской олимпиады школьников по сравнению с 202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значительно 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92D5C">
        <w:rPr>
          <w:rFonts w:hAnsi="Times New Roman" w:cs="Times New Roman"/>
          <w:color w:val="000000"/>
          <w:sz w:val="24"/>
          <w:szCs w:val="24"/>
          <w:lang w:val="ru-RU"/>
        </w:rPr>
        <w:t>меньшилось</w:t>
      </w:r>
      <w:r w:rsidR="007327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792D5C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92D5C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985FDA" w:rsidRPr="00792D5C" w:rsidRDefault="00AD0C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D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985FDA" w:rsidRPr="00AD0CC9" w:rsidRDefault="00AD0CC9" w:rsidP="00792D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:rsidR="00985FDA" w:rsidRPr="00AD0CC9" w:rsidRDefault="00AD0CC9" w:rsidP="00792D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Отметить работу ШМО по увеличению количества победителей и призеров школьного этапа Всероссийской олимпиады школьников.</w:t>
      </w:r>
    </w:p>
    <w:p w:rsidR="00985FDA" w:rsidRPr="00AD0CC9" w:rsidRDefault="00AD0C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985FDA" w:rsidRPr="00AD0CC9" w:rsidRDefault="00AD0C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985FDA" w:rsidRPr="00AD0CC9" w:rsidRDefault="00AD0CC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Провести в марте 202</w:t>
      </w:r>
      <w:r w:rsidR="007461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CC9">
        <w:rPr>
          <w:rFonts w:hAnsi="Times New Roman" w:cs="Times New Roman"/>
          <w:color w:val="000000"/>
          <w:sz w:val="24"/>
          <w:szCs w:val="24"/>
          <w:lang w:val="ru-RU"/>
        </w:rPr>
        <w:t>года методический семинар по теме «Как повысить результативность участия во Всероссийской олимпиаде школьников».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56"/>
        <w:gridCol w:w="1725"/>
      </w:tblGrid>
      <w:tr w:rsidR="00985FDA" w:rsidTr="00792D5C">
        <w:trPr>
          <w:trHeight w:val="43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AD0CC9">
            <w:pPr>
              <w:rPr>
                <w:lang w:val="ru-RU"/>
              </w:rPr>
            </w:pPr>
            <w:r w:rsidRPr="00AD0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AD0CC9" w:rsidRDefault="00985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FDA" w:rsidRPr="00746148" w:rsidRDefault="007461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С.В.</w:t>
            </w:r>
          </w:p>
        </w:tc>
      </w:tr>
    </w:tbl>
    <w:p w:rsidR="00985FDA" w:rsidRDefault="00985FDA" w:rsidP="00792D5C">
      <w:pPr>
        <w:rPr>
          <w:rFonts w:hAnsi="Times New Roman" w:cs="Times New Roman"/>
          <w:color w:val="000000"/>
          <w:sz w:val="24"/>
          <w:szCs w:val="24"/>
        </w:rPr>
      </w:pPr>
    </w:p>
    <w:sectPr w:rsidR="00985FDA" w:rsidSect="00002538">
      <w:pgSz w:w="11907" w:h="16839"/>
      <w:pgMar w:top="709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8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74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E6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365"/>
    <w:rsid w:val="00002538"/>
    <w:rsid w:val="00034899"/>
    <w:rsid w:val="00136EED"/>
    <w:rsid w:val="001A567A"/>
    <w:rsid w:val="002D33B1"/>
    <w:rsid w:val="002D3591"/>
    <w:rsid w:val="002E6F8C"/>
    <w:rsid w:val="003044FB"/>
    <w:rsid w:val="003514A0"/>
    <w:rsid w:val="003A198C"/>
    <w:rsid w:val="004160F5"/>
    <w:rsid w:val="004B1A03"/>
    <w:rsid w:val="004F7E17"/>
    <w:rsid w:val="00500E6F"/>
    <w:rsid w:val="00597945"/>
    <w:rsid w:val="005A05CE"/>
    <w:rsid w:val="0060722B"/>
    <w:rsid w:val="00610C03"/>
    <w:rsid w:val="00653AF6"/>
    <w:rsid w:val="00694487"/>
    <w:rsid w:val="006C18AE"/>
    <w:rsid w:val="006E0AF3"/>
    <w:rsid w:val="00732714"/>
    <w:rsid w:val="00746148"/>
    <w:rsid w:val="00792D5C"/>
    <w:rsid w:val="007A71F6"/>
    <w:rsid w:val="00860C8B"/>
    <w:rsid w:val="00865D7E"/>
    <w:rsid w:val="008C7937"/>
    <w:rsid w:val="00985FDA"/>
    <w:rsid w:val="009B6002"/>
    <w:rsid w:val="00A00310"/>
    <w:rsid w:val="00A034A6"/>
    <w:rsid w:val="00AD0CC9"/>
    <w:rsid w:val="00AE2201"/>
    <w:rsid w:val="00B23539"/>
    <w:rsid w:val="00B669E6"/>
    <w:rsid w:val="00B73A5A"/>
    <w:rsid w:val="00BF1AFA"/>
    <w:rsid w:val="00C70604"/>
    <w:rsid w:val="00D758A8"/>
    <w:rsid w:val="00DB02EF"/>
    <w:rsid w:val="00DB2A94"/>
    <w:rsid w:val="00DD4A20"/>
    <w:rsid w:val="00E05443"/>
    <w:rsid w:val="00E34B27"/>
    <w:rsid w:val="00E438A1"/>
    <w:rsid w:val="00EB407B"/>
    <w:rsid w:val="00EC0DA1"/>
    <w:rsid w:val="00F01E19"/>
    <w:rsid w:val="00F13514"/>
    <w:rsid w:val="00F30850"/>
    <w:rsid w:val="00F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E6BF"/>
  <w15:docId w15:val="{4B813A28-D8D1-487E-9A42-547DA27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0BE1-266F-44B9-AEB3-64057F48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ЦЕА</cp:lastModifiedBy>
  <cp:revision>12</cp:revision>
  <dcterms:created xsi:type="dcterms:W3CDTF">2023-12-07T06:49:00Z</dcterms:created>
  <dcterms:modified xsi:type="dcterms:W3CDTF">2024-12-12T11:47:00Z</dcterms:modified>
</cp:coreProperties>
</file>